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2-chronicles-4"/>
    <w:p>
      <w:pPr>
        <w:pStyle w:val="Heading1"/>
      </w:pPr>
      <w:r>
        <w:t xml:space="preserve">Homiletics Analysis: 2 Chronicles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4 is a detailed inventory of the furnishings and sacred vessels Solomon constructed for the completed Temple. The chapter proceeds through each major element in sequence: the bronze altar (v. 1), the great bronze Sea resting on twelve bronze bulls (vv. 2–5), ten bronze lavers (v. 6), ten golden lampstands (v. 7), ten tables (v. 8), the inner and outer courts (v. 9), the positioning of the Sea (v. 10), and then a catalogued summary of all the bronze work Huram-abi executed (vv. 11–18), followed by a parallel inventory of Solomon’s golden vessels — the altar, tables, lampstands, cups, bowls, snuffers, and basins (vv. 19–22). The chapter closes with a summary statement that all the work of Solomon’s Temple was finished. The passage is not narrative action but sacred inventory — a deliberate, methodical account of what was made, from what materials, in what quantities, and for what purposes.</w:t>
      </w:r>
    </w:p>
    <w:p>
      <w:pPr>
        <w:pStyle w:val="BodyText"/>
      </w:pPr>
      <w:r>
        <w:rPr>
          <w:b/>
          <w:bCs/>
        </w:rPr>
        <w:t xml:space="preserve">This Text — Intent:</w:t>
      </w:r>
    </w:p>
    <w:p>
      <w:pPr>
        <w:pStyle w:val="BodyText"/>
      </w:pPr>
      <w:r>
        <w:t xml:space="preserve">God is not giving Israel (or the reader) a construction manual. The intent of this exhaustive sacred inventory is to press upon the reader the weight, the completeness, and the seriousness of what worship costs and what worship requires. Every item catalogued is a statement about holiness — that drawing near to God demands mediation, purification, and illumination that no worshiper can supply for himself. The sheer abundance — ten lampstands, ten lavers, a Sea massive enough to hold eleven thousand gallons — is not architectural excess but theological declaration: God’s provision for the approach of sinful people to a holy God is extravagant, complete, and entirely of His own design and supply. The intent is reverence, awe, and a right understanding of what it means that God makes a way for His people to come near to Him at all.</w:t>
      </w:r>
    </w:p>
    <w:p>
      <w:r>
        <w:pict>
          <v:rect style="width:0;height:1.5pt" o:hralign="center" o:hrstd="t" o:hr="t"/>
        </w:pict>
      </w:r>
    </w:p>
    <w:p>
      <w:pPr>
        <w:pStyle w:val="FirstParagraph"/>
      </w:pPr>
      <w:r>
        <w:rPr>
          <w:b/>
          <w:bCs/>
        </w:rPr>
        <w:t xml:space="preserve">Subject Sentence:</w:t>
      </w:r>
      <w:r>
        <w:t xml:space="preserve"> </w:t>
      </w:r>
      <w:r>
        <w:t xml:space="preserve">Solomon furnishes the Temple with every instrument required for Israel’s holy approach to God.</w:t>
      </w:r>
    </w:p>
    <w:p>
      <w:r>
        <w:pict>
          <v:rect style="width:0;height:1.5pt" o:hralign="center" o:hrstd="t" o:hr="t"/>
        </w:pict>
      </w:r>
    </w:p>
    <w:p>
      <w:pPr>
        <w:pStyle w:val="FirstParagraph"/>
      </w:pPr>
      <w:r>
        <w:rPr>
          <w:b/>
          <w:bCs/>
        </w:rPr>
        <w:t xml:space="preserve">Primary Claim:</w:t>
      </w:r>
      <w:r>
        <w:t xml:space="preserve"> </w:t>
      </w:r>
      <w:r>
        <w:t xml:space="preserve">God, through the lavish completeness of the Temple furnishings, is declaring that He — not the worshiper — has made full and sufficient provision for sinful people to draw near to Him in holiness; every vessel, basin, and lamp announces that access to God is entirely His gift, entirely His design, and entirely adequate.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of the passage — inventory versus theology:</w:t>
      </w:r>
      <w:r>
        <w:t xml:space="preserve"> </w:t>
      </w:r>
      <w:r>
        <w:t xml:space="preserve">The most common interpretive failure here is treating 2 Chronicles 4 as a historical footnote — useful background, theologically inert. Some traditions that prioritize narrative or applicational passages will skip chapters like this or mine them only for isolated details (the size of the Sea, the number of lampstands) without reading the inventory as itself making a theological claim. This under-reads the chapter. The Chronicler is not writing a construction ledger — he is writing a theological account of worship and its requirements. The inventory</w:t>
      </w:r>
      <w:r>
        <w:t xml:space="preserve"> </w:t>
      </w:r>
      <w:r>
        <w:rPr>
          <w:i/>
          <w:iCs/>
        </w:rPr>
        <w:t xml:space="preserve">is</w:t>
      </w:r>
      <w:r>
        <w:t xml:space="preserve"> </w:t>
      </w:r>
      <w:r>
        <w:t xml:space="preserve">the argument. The Reformed reading recognizes that the Chronicler’s entire purpose in 1–2 Chronicles is theological: to show Israel what true worship looks like, what it costs, and where it comes from. The exhaustiveness of the list is itself a homiletical device.</w:t>
      </w:r>
    </w:p>
    <w:p>
      <w:pPr>
        <w:pStyle w:val="BodyText"/>
      </w:pPr>
      <w:r>
        <w:rPr>
          <w:b/>
          <w:bCs/>
        </w:rPr>
        <w:t xml:space="preserve">On the typological dimension:</w:t>
      </w:r>
      <w:r>
        <w:t xml:space="preserve"> </w:t>
      </w:r>
      <w:r>
        <w:t xml:space="preserve">Dispensational readers will often bracket the Temple materials as belonging exclusively to Israel’s national-cultic life under the Mosaic economy, with limited applicability beyond showing the contrast with the New Covenant’s</w:t>
      </w:r>
      <w:r>
        <w:t xml:space="preserve"> </w:t>
      </w:r>
      <w:r>
        <w:t xml:space="preserve">“better”</w:t>
      </w:r>
      <w:r>
        <w:t xml:space="preserve"> </w:t>
      </w:r>
      <w:r>
        <w:t xml:space="preserve">sanctuary (Hebrews 8–9). This is not wrong as far as it goes, and the Hebrews connection is genuinely important. However, dispensational readings sometimes stop at the contrast without mining the correspondence — the Temple furnishings do not merely prefigure something better; they</w:t>
      </w:r>
      <w:r>
        <w:t xml:space="preserve"> </w:t>
      </w:r>
      <w:r>
        <w:rPr>
          <w:i/>
          <w:iCs/>
        </w:rPr>
        <w:t xml:space="preserve">announce</w:t>
      </w:r>
      <w:r>
        <w:t xml:space="preserve"> </w:t>
      </w:r>
      <w:r>
        <w:t xml:space="preserve">the categories that Christ fulfills: purification (the lavers and Sea), light (the lampstands), presence (the table of showbread), and mediated access (the altar). The Reformed reading retains both the contrast and the correspondence, reading the Temple furnishings as genuine types that the reader is meant to follow forward into their fulfillment.</w:t>
      </w:r>
    </w:p>
    <w:p>
      <w:pPr>
        <w:pStyle w:val="BodyText"/>
      </w:pPr>
      <w:r>
        <w:rPr>
          <w:b/>
          <w:bCs/>
        </w:rPr>
        <w:t xml:space="preserve">On the bronze Sea (vv. 2–5):</w:t>
      </w:r>
      <w:r>
        <w:t xml:space="preserve"> </w:t>
      </w:r>
      <w:r>
        <w:t xml:space="preserve">Some readers have pressed the sea’s dimensions (ten cubits diameter, thirty cubits circumference) as a biblical</w:t>
      </w:r>
      <w:r>
        <w:t xml:space="preserve"> </w:t>
      </w:r>
      <w:r>
        <w:t xml:space="preserve">“error”</w:t>
      </w:r>
      <w:r>
        <w:t xml:space="preserve"> </w:t>
      </w:r>
      <w:r>
        <w:t xml:space="preserve">since π would require approximately 31.4 cubits. This is a textual-critical rather than hermeneutical debate, but it surfaces in commentary and can distract exposition. The standard response — that ancient measurement conventions allowed for rounding, that the inner diameter versus outer circumference may account for wall thickness, or that approximate figures were conventional — is well-established and does not require extensive engagement in preaching contexts. The point is not to defend a mathematical abstraction but to recognize that the Chronicler’s concern is theological magnitude, not engineering precision.</w:t>
      </w:r>
    </w:p>
    <w:p>
      <w:pPr>
        <w:pStyle w:val="BodyText"/>
      </w:pPr>
      <w:r>
        <w:rPr>
          <w:b/>
          <w:bCs/>
        </w:rPr>
        <w:t xml:space="preserve">Reformed verdict:</w:t>
      </w:r>
      <w:r>
        <w:t xml:space="preserve"> </w:t>
      </w:r>
      <w:r>
        <w:t xml:space="preserve">The passage is best read as a theological inventory — a sustained claim about the completeness and divine origin of the provision God makes for worshipers to approach Him. Its typological freight is real and should be followed through to Hebrews and to Christ. Its exhaustiveness is not literary redundancy but homiletical weight. The Reformed tradition’s covenantal-typological reading of the Temple furnishings is the reading that best accounts for why the Chronicler includes this level of detail in a book whose purpose is explicitly theological.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25–30</w:t>
      </w:r>
      <w:r>
        <w:t xml:space="preserve"> </w:t>
      </w:r>
      <w:r>
        <w:t xml:space="preserve">— The original Mosaic Tabernacle instructions establish the pattern (the</w:t>
      </w:r>
      <w:r>
        <w:t xml:space="preserve"> </w:t>
      </w:r>
      <w:r>
        <w:rPr>
          <w:i/>
          <w:iCs/>
        </w:rPr>
        <w:t xml:space="preserve">tabnît</w:t>
      </w:r>
      <w:r>
        <w:t xml:space="preserve">) that the Temple furnishings replicate and exceed in scale; God’s design, not human invention, governs every element of the approach to His presence.</w:t>
      </w:r>
    </w:p>
    <w:p>
      <w:pPr>
        <w:numPr>
          <w:ilvl w:val="0"/>
          <w:numId w:val="1001"/>
        </w:numPr>
      </w:pPr>
      <w:r>
        <w:rPr>
          <w:b/>
          <w:bCs/>
        </w:rPr>
        <w:t xml:space="preserve">Hebrews 9:1–14</w:t>
      </w:r>
      <w:r>
        <w:t xml:space="preserve"> </w:t>
      </w:r>
      <w:r>
        <w:t xml:space="preserve">— The New Testament’s direct engagement with the Temple furnishings as types: the outer court, the Holy Place, the Holy of Holies, and all their vessels are declared</w:t>
      </w:r>
      <w:r>
        <w:t xml:space="preserve"> </w:t>
      </w:r>
      <w:r>
        <w:t xml:space="preserve">“copies and shadows”</w:t>
      </w:r>
      <w:r>
        <w:t xml:space="preserve"> </w:t>
      </w:r>
      <w:r>
        <w:t xml:space="preserve">of the heavenly reality; Christ enters the greater and more perfect tent not made with hands, accomplishing what the lavers and altar could only signify.</w:t>
      </w:r>
    </w:p>
    <w:p>
      <w:pPr>
        <w:numPr>
          <w:ilvl w:val="0"/>
          <w:numId w:val="1001"/>
        </w:numPr>
      </w:pPr>
      <w:r>
        <w:rPr>
          <w:b/>
          <w:bCs/>
        </w:rPr>
        <w:t xml:space="preserve">John 1:14</w:t>
      </w:r>
      <w:r>
        <w:t xml:space="preserve"> </w:t>
      </w:r>
      <w:r>
        <w:t xml:space="preserve">—</w:t>
      </w:r>
      <w:r>
        <w:t xml:space="preserve"> </w:t>
      </w:r>
      <w:r>
        <w:t xml:space="preserve">“The Word became flesh and tabernacled (</w:t>
      </w:r>
      <w:r>
        <w:rPr>
          <w:i/>
          <w:iCs/>
        </w:rPr>
        <w:t xml:space="preserve">eskēnōsen</w:t>
      </w:r>
      <w:r>
        <w:t xml:space="preserve">) among us”</w:t>
      </w:r>
      <w:r>
        <w:t xml:space="preserve"> </w:t>
      </w:r>
      <w:r>
        <w:t xml:space="preserve">— the incarnation is the fulfillment of what the Temple and all its furnishings pointed toward: God dwelling with His people directly, without the mediation of bronze and gold.</w:t>
      </w:r>
    </w:p>
    <w:p>
      <w:pPr>
        <w:numPr>
          <w:ilvl w:val="0"/>
          <w:numId w:val="1001"/>
        </w:numPr>
      </w:pPr>
      <w:r>
        <w:rPr>
          <w:b/>
          <w:bCs/>
        </w:rPr>
        <w:t xml:space="preserve">Revelation 21:22</w:t>
      </w:r>
      <w:r>
        <w:t xml:space="preserve"> </w:t>
      </w:r>
      <w:r>
        <w:t xml:space="preserve">— In the New Jerusalem there is no temple,</w:t>
      </w:r>
      <w:r>
        <w:t xml:space="preserve"> </w:t>
      </w:r>
      <w:r>
        <w:t xml:space="preserve">“for its temple is the Lord God the Almighty and the Lamb”</w:t>
      </w:r>
      <w:r>
        <w:t xml:space="preserve"> </w:t>
      </w:r>
      <w:r>
        <w:t xml:space="preserve">— the final resolution of everything the Temple furnishings anticipated: direct, unmediated, fully holy access to God, requiring no further vessels, lavers, or lampstands because the Lamb is all of these.</w:t>
      </w:r>
    </w:p>
    <w:p>
      <w:pPr>
        <w:numPr>
          <w:ilvl w:val="0"/>
          <w:numId w:val="1001"/>
        </w:numPr>
      </w:pPr>
      <w:r>
        <w:rPr>
          <w:b/>
          <w:bCs/>
        </w:rPr>
        <w:t xml:space="preserve">1 Kings 7:13–51</w:t>
      </w:r>
      <w:r>
        <w:t xml:space="preserve"> </w:t>
      </w:r>
      <w:r>
        <w:t xml:space="preserve">— The parallel account in Kings, which supplements the Chronicles inventory with additional detail about Huram-abi’s craftsmanship; read together, they establish that the completeness of the furnishings was a matter of both royal record and theological significance in Israel’s memory.</w:t>
      </w:r>
    </w:p>
    <w:p>
      <w:r>
        <w:pict>
          <v:rect style="width:0;height:1.5pt" o:hralign="center" o:hrstd="t" o:hr="t"/>
        </w:pict>
      </w:r>
    </w:p>
    <w:bookmarkEnd w:id="11"/>
    <w:bookmarkStart w:id="12" w:name="aim"/>
    <w:p>
      <w:pPr>
        <w:pStyle w:val="Heading2"/>
      </w:pPr>
      <w:r>
        <w:t xml:space="preserve">Aim</w:t>
      </w:r>
    </w:p>
    <w:p>
      <w:pPr>
        <w:pStyle w:val="FirstParagraph"/>
      </w:pPr>
      <w:r>
        <w:t xml:space="preserve">To demonstrate that the exhaustive detail of 2 Chronicles 4 is not liturgical archaeology but living theology — pressing the reader toward reverent gratitude that God has made complete, extravagant provision for the approach of sinful people to His holy presence, a provision that finds its ultimate answer in Christ.</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Bronze altar constructed — twenty cubits square, ten cubits high</w:t>
            </w:r>
          </w:p>
        </w:tc>
        <w:tc>
          <w:tcPr/>
          <w:p>
            <w:pPr>
              <w:pStyle w:val="Compact"/>
            </w:pPr>
            <w:r>
              <w:t xml:space="preserve">Altar of sacrifice: the first and non-negotiable item; no approach to God without atonement</w:t>
            </w:r>
          </w:p>
        </w:tc>
      </w:tr>
      <w:tr>
        <w:tc>
          <w:tcPr/>
          <w:p>
            <w:pPr>
              <w:pStyle w:val="Compact"/>
            </w:pPr>
            <w:r>
              <w:t xml:space="preserve">4:2–5</w:t>
            </w:r>
          </w:p>
        </w:tc>
        <w:tc>
          <w:tcPr/>
          <w:p>
            <w:pPr>
              <w:pStyle w:val="Compact"/>
            </w:pPr>
            <w:r>
              <w:t xml:space="preserve">The bronze Sea — ten cubits diameter, thirty circumference, five cubits deep; resting on twelve bronze bulls (three per direction); capacity approximately eleven thousand gallons</w:t>
            </w:r>
          </w:p>
        </w:tc>
        <w:tc>
          <w:tcPr/>
          <w:p>
            <w:pPr>
              <w:pStyle w:val="Compact"/>
            </w:pPr>
            <w:r>
              <w:t xml:space="preserve">Massive purification basin; the twelve bulls likely represent the twelve tribes; scale emphasizes sufficiency</w:t>
            </w:r>
          </w:p>
        </w:tc>
      </w:tr>
      <w:tr>
        <w:tc>
          <w:tcPr/>
          <w:p>
            <w:pPr>
              <w:pStyle w:val="Compact"/>
            </w:pPr>
            <w:r>
              <w:t xml:space="preserve">4:6</w:t>
            </w:r>
          </w:p>
        </w:tc>
        <w:tc>
          <w:tcPr/>
          <w:p>
            <w:pPr>
              <w:pStyle w:val="Compact"/>
            </w:pPr>
            <w:r>
              <w:t xml:space="preserve">Ten lavers for rinsing burnt offerings; Sea for priestly washing</w:t>
            </w:r>
          </w:p>
        </w:tc>
        <w:tc>
          <w:tcPr/>
          <w:p>
            <w:pPr>
              <w:pStyle w:val="Compact"/>
            </w:pPr>
            <w:r>
              <w:t xml:space="preserve">Distinction: lavers for the offerings, Sea for the priests themselves; purification of both sacrifice and servant</w:t>
            </w:r>
          </w:p>
        </w:tc>
      </w:tr>
      <w:tr>
        <w:tc>
          <w:tcPr/>
          <w:p>
            <w:pPr>
              <w:pStyle w:val="Compact"/>
            </w:pPr>
            <w:r>
              <w:t xml:space="preserve">4:7</w:t>
            </w:r>
          </w:p>
        </w:tc>
        <w:tc>
          <w:tcPr/>
          <w:p>
            <w:pPr>
              <w:pStyle w:val="Compact"/>
            </w:pPr>
            <w:r>
              <w:t xml:space="preserve">Ten golden lampstands made according to specification, placed in the Temple</w:t>
            </w:r>
          </w:p>
        </w:tc>
        <w:tc>
          <w:tcPr/>
          <w:p>
            <w:pPr>
              <w:pStyle w:val="Compact"/>
            </w:pPr>
            <w:r>
              <w:t xml:space="preserve">Light in the Holy Place; illumination is provided, not assumed</w:t>
            </w:r>
          </w:p>
        </w:tc>
      </w:tr>
      <w:tr>
        <w:tc>
          <w:tcPr/>
          <w:p>
            <w:pPr>
              <w:pStyle w:val="Compact"/>
            </w:pPr>
            <w:r>
              <w:t xml:space="preserve">4:8</w:t>
            </w:r>
          </w:p>
        </w:tc>
        <w:tc>
          <w:tcPr/>
          <w:p>
            <w:pPr>
              <w:pStyle w:val="Compact"/>
            </w:pPr>
            <w:r>
              <w:t xml:space="preserve">Ten tables placed in the Temple; one hundred golden bowls</w:t>
            </w:r>
          </w:p>
        </w:tc>
        <w:tc>
          <w:tcPr/>
          <w:p>
            <w:pPr>
              <w:pStyle w:val="Compact"/>
            </w:pPr>
            <w:r>
              <w:t xml:space="preserve">Tables of showbread; the presence of God sustained before the worshiper</w:t>
            </w:r>
          </w:p>
        </w:tc>
      </w:tr>
      <w:tr>
        <w:tc>
          <w:tcPr/>
          <w:p>
            <w:pPr>
              <w:pStyle w:val="Compact"/>
            </w:pPr>
            <w:r>
              <w:t xml:space="preserve">4:9</w:t>
            </w:r>
          </w:p>
        </w:tc>
        <w:tc>
          <w:tcPr/>
          <w:p>
            <w:pPr>
              <w:pStyle w:val="Compact"/>
            </w:pPr>
            <w:r>
              <w:t xml:space="preserve">The priests’ court and the great court constructed; doors overlaid with bronze</w:t>
            </w:r>
          </w:p>
        </w:tc>
        <w:tc>
          <w:tcPr/>
          <w:p>
            <w:pPr>
              <w:pStyle w:val="Compact"/>
            </w:pPr>
            <w:r>
              <w:t xml:space="preserve">Architecture of graduated approach — court distinctions mark degrees of holiness</w:t>
            </w:r>
          </w:p>
        </w:tc>
      </w:tr>
      <w:tr>
        <w:tc>
          <w:tcPr/>
          <w:p>
            <w:pPr>
              <w:pStyle w:val="Compact"/>
            </w:pPr>
            <w:r>
              <w:t xml:space="preserve">4:10</w:t>
            </w:r>
          </w:p>
        </w:tc>
        <w:tc>
          <w:tcPr/>
          <w:p>
            <w:pPr>
              <w:pStyle w:val="Compact"/>
            </w:pPr>
            <w:r>
              <w:t xml:space="preserve">The Sea placed at the southeast corner of the Temple</w:t>
            </w:r>
          </w:p>
        </w:tc>
        <w:tc>
          <w:tcPr/>
          <w:p>
            <w:pPr>
              <w:pStyle w:val="Compact"/>
            </w:pPr>
            <w:r>
              <w:t xml:space="preserve">Placement is deliberate; priestly access governed by spatial arrangement</w:t>
            </w:r>
          </w:p>
        </w:tc>
      </w:tr>
      <w:tr>
        <w:tc>
          <w:tcPr/>
          <w:p>
            <w:pPr>
              <w:pStyle w:val="Compact"/>
            </w:pPr>
            <w:r>
              <w:t xml:space="preserve">4:11–18</w:t>
            </w:r>
          </w:p>
        </w:tc>
        <w:tc>
          <w:tcPr/>
          <w:p>
            <w:pPr>
              <w:pStyle w:val="Compact"/>
            </w:pPr>
            <w:r>
              <w:t xml:space="preserve">Summary inventory of all Huram-abi’s bronze work: pots, shovels, basins; the pillars, capitals, pomegranates, networks; all cast in the plain of Jordan</w:t>
            </w:r>
          </w:p>
        </w:tc>
        <w:tc>
          <w:tcPr/>
          <w:p>
            <w:pPr>
              <w:pStyle w:val="Compact"/>
            </w:pPr>
            <w:r>
              <w:t xml:space="preserve">Huram-abi as master craftsman; the detail underscores completion and quality; Jordan valley clay used for casting</w:t>
            </w:r>
          </w:p>
        </w:tc>
      </w:tr>
      <w:tr>
        <w:tc>
          <w:tcPr/>
          <w:p>
            <w:pPr>
              <w:pStyle w:val="Compact"/>
            </w:pPr>
            <w:r>
              <w:t xml:space="preserve">4:19–22</w:t>
            </w:r>
          </w:p>
        </w:tc>
        <w:tc>
          <w:tcPr/>
          <w:p>
            <w:pPr>
              <w:pStyle w:val="Compact"/>
            </w:pPr>
            <w:r>
              <w:t xml:space="preserve">Solomon’s golden vessels: the altar of gold, the tables of showbread, the lampstands and lamps, the cups, snuffers, basins, dishes, fire pans — all pure gold; gold door sockets for the inner and outer sanctuaries</w:t>
            </w:r>
          </w:p>
        </w:tc>
        <w:tc>
          <w:tcPr/>
          <w:p>
            <w:pPr>
              <w:pStyle w:val="Compact"/>
            </w:pPr>
            <w:r>
              <w:t xml:space="preserve">The interior of the Holy Place is entirely gold — approaching the inner presence requires the purest material</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w:t>
            </w:r>
          </w:p>
        </w:tc>
        <w:tc>
          <w:tcPr/>
          <w:p>
            <w:pPr>
              <w:pStyle w:val="Compact"/>
            </w:pPr>
            <w:r>
              <w:t xml:space="preserve">The Altar: Atonement Before Access</w:t>
            </w:r>
          </w:p>
        </w:tc>
      </w:tr>
      <w:tr>
        <w:tc>
          <w:tcPr/>
          <w:p>
            <w:pPr>
              <w:pStyle w:val="Compact"/>
            </w:pPr>
            <w:r>
              <w:t xml:space="preserve">2</w:t>
            </w:r>
          </w:p>
        </w:tc>
        <w:tc>
          <w:tcPr/>
          <w:p>
            <w:pPr>
              <w:pStyle w:val="Compact"/>
            </w:pPr>
            <w:r>
              <w:t xml:space="preserve">4:2–6</w:t>
            </w:r>
          </w:p>
        </w:tc>
        <w:tc>
          <w:tcPr/>
          <w:p>
            <w:pPr>
              <w:pStyle w:val="Compact"/>
            </w:pPr>
            <w:r>
              <w:t xml:space="preserve">The Waters: Purification as Prerequisite</w:t>
            </w:r>
          </w:p>
        </w:tc>
      </w:tr>
      <w:tr>
        <w:tc>
          <w:tcPr/>
          <w:p>
            <w:pPr>
              <w:pStyle w:val="Compact"/>
            </w:pPr>
            <w:r>
              <w:t xml:space="preserve">3</w:t>
            </w:r>
          </w:p>
        </w:tc>
        <w:tc>
          <w:tcPr/>
          <w:p>
            <w:pPr>
              <w:pStyle w:val="Compact"/>
            </w:pPr>
            <w:r>
              <w:t xml:space="preserve">4:7–9</w:t>
            </w:r>
          </w:p>
        </w:tc>
        <w:tc>
          <w:tcPr/>
          <w:p>
            <w:pPr>
              <w:pStyle w:val="Compact"/>
            </w:pPr>
            <w:r>
              <w:t xml:space="preserve">Light, Bread, and Court: The Sustained Environment of Worship</w:t>
            </w:r>
          </w:p>
        </w:tc>
      </w:tr>
      <w:tr>
        <w:tc>
          <w:tcPr/>
          <w:p>
            <w:pPr>
              <w:pStyle w:val="Compact"/>
            </w:pPr>
            <w:r>
              <w:t xml:space="preserve">4</w:t>
            </w:r>
          </w:p>
        </w:tc>
        <w:tc>
          <w:tcPr/>
          <w:p>
            <w:pPr>
              <w:pStyle w:val="Compact"/>
            </w:pPr>
            <w:r>
              <w:t xml:space="preserve">4:10–18</w:t>
            </w:r>
          </w:p>
        </w:tc>
        <w:tc>
          <w:tcPr/>
          <w:p>
            <w:pPr>
              <w:pStyle w:val="Compact"/>
            </w:pPr>
            <w:r>
              <w:t xml:space="preserve">Huram-abi’s Bronze Work: The Complete Inventory of Mediation</w:t>
            </w:r>
          </w:p>
        </w:tc>
      </w:tr>
      <w:tr>
        <w:tc>
          <w:tcPr/>
          <w:p>
            <w:pPr>
              <w:pStyle w:val="Compact"/>
            </w:pPr>
            <w:r>
              <w:t xml:space="preserve">5</w:t>
            </w:r>
          </w:p>
        </w:tc>
        <w:tc>
          <w:tcPr/>
          <w:p>
            <w:pPr>
              <w:pStyle w:val="Compact"/>
            </w:pPr>
            <w:r>
              <w:t xml:space="preserve">4:19–22</w:t>
            </w:r>
          </w:p>
        </w:tc>
        <w:tc>
          <w:tcPr/>
          <w:p>
            <w:pPr>
              <w:pStyle w:val="Compact"/>
            </w:pPr>
            <w:r>
              <w:t xml:space="preserve">Solomon’s Golden Vessels: The Inner Sanctuary Fully Furnished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 furnishes the Temple with every instrument required for Israel’s holy approach to God.</w:t>
      </w:r>
    </w:p>
    <w:p>
      <w:pPr>
        <w:pStyle w:val="BodyText"/>
      </w:pPr>
      <w:r>
        <w:rPr>
          <w:b/>
          <w:bCs/>
        </w:rPr>
        <w:t xml:space="preserve">Primary Claim:</w:t>
      </w:r>
      <w:r>
        <w:t xml:space="preserve"> </w:t>
      </w:r>
      <w:r>
        <w:t xml:space="preserve">God, through the lavish completeness of the Temple furnishings, is declaring that He — not the worshiper — has made full and sufficient provision for sinful people to draw near to Him in holiness; every vessel, basin, and lamp announces that access to God is entirely His gift, entirely His design, and entirely adequate.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 — Recognize that worship is not self-generated: God designs its every approach.</w:t>
      </w:r>
      <w:r>
        <w:t xml:space="preserve"> </w:t>
      </w:r>
      <w:r>
        <w:t xml:space="preserve">The inventory of 2 Chronicles 4 begins not with what the worshiper brings but with what God has provided — altar, water, light, bread, courts, vessels. Every item was specified by God, constructed according to His pattern, and positioned by His design. This confronts the deep modern assumption that worship is something the worshiper constructs — a chosen style, a preferred atmosphere, a self-selected mode of access. The reader must reframe worship as fundamentally responsive: you do not design your way into God’s presence; you enter the way He has opened. In the New Covenant, that way is Christ alone (John 14:6), and the worshiper’s task is not to engineer access but to receive it with gratitude.</w:t>
      </w:r>
    </w:p>
    <w:p>
      <w:pPr>
        <w:pStyle w:val="BodyText"/>
      </w:pPr>
      <w:r>
        <w:rPr>
          <w:b/>
          <w:bCs/>
        </w:rPr>
        <w:t xml:space="preserve">2. [Mind/Belief] — See the Temple furnishings as a promise, not merely a procedure: they announce that God will make a way.</w:t>
      </w:r>
      <w:r>
        <w:t xml:space="preserve"> </w:t>
      </w:r>
      <w:r>
        <w:t xml:space="preserve">Each vessel in the Temple inventory is a forward-pointing sign. The lavers could not ultimately purify; the altar could not finally atone; the lampstands could not permanently illuminate. But they were not failures — they were promises. They announced the categories of what God would accomplish perfectly in Christ: a once-for-all sacrifice, an eternal purification, an unfading light. The reader who understands the Temple’s furnishings typologically is not doing historical archaeology — they are reading the Old Testament as the New Testament itself reads it (Hebrews 9–10). Train yourself to see the shadow and follow it to its substance.</w:t>
      </w:r>
    </w:p>
    <w:p>
      <w:pPr>
        <w:pStyle w:val="BodyText"/>
      </w:pPr>
      <w:r>
        <w:rPr>
          <w:b/>
          <w:bCs/>
        </w:rPr>
        <w:t xml:space="preserve">3. [Affections/Worship] — Let the extravagance of the Temple’s provision move you to awe, not familiarity.</w:t>
      </w:r>
      <w:r>
        <w:t xml:space="preserve"> </w:t>
      </w:r>
      <w:r>
        <w:t xml:space="preserve">The bronze Sea held eleven thousand gallons of water. There were ten lavers, ten lampstands, ten tables. Everything was doubled, multiplied, scaled beyond what bare function required. This is not waste — it is proclamation. God’s provision for worshipers to approach Him is not minimal and begrudging; it is extravagant and complete. The reader accustomed to treating access to God as a routine, unremarkable transaction — logging into a devotional app, checking a Sunday-morning obligation — has lost the capacity for awe that this passage intends to produce. Sit with the scale of what God has provided, and let it restore the weight of what it means that you may draw near to the Holy One at all.</w:t>
      </w:r>
    </w:p>
    <w:p>
      <w:pPr>
        <w:pStyle w:val="BodyText"/>
      </w:pPr>
      <w:r>
        <w:rPr>
          <w:b/>
          <w:bCs/>
        </w:rPr>
        <w:t xml:space="preserve">4. [Affections/Worship] — Grieve what sin costs, and worship what grace supplies.</w:t>
      </w:r>
      <w:r>
        <w:t xml:space="preserve"> </w:t>
      </w:r>
      <w:r>
        <w:t xml:space="preserve">The altar stands first in the inventory (v. 1) — before any other item, before the lavers or lampstands or courts. This is not incidental. There is no approach to God that does not first pass through atonement. The reader who has been made comfortable with sin, or who has reduced it to a mere bad habit, has forgotten what the altar announces: sin is lethal, and blood must be shed. The bronze altar should produce grief — not morbid guilt but holy sorrow over what human sin required. And then it should produce worship — because what the bronze altar could only shadow, the cross of Christ accomplished finally, fully, and forever. Grieve the cost; worship the Lamb who paid it.</w:t>
      </w:r>
    </w:p>
    <w:p>
      <w:pPr>
        <w:pStyle w:val="BodyText"/>
      </w:pPr>
      <w:r>
        <w:rPr>
          <w:b/>
          <w:bCs/>
        </w:rPr>
        <w:t xml:space="preserve">5. [Will/Behavior] — Approach God with the confidence that His provision is complete — stop adding your own conditions.</w:t>
      </w:r>
      <w:r>
        <w:t xml:space="preserve"> </w:t>
      </w:r>
      <w:r>
        <w:t xml:space="preserve">The Temple was fully furnished. Every required item was in place. The inventory ends (v. 22) with the doors socketed in gold — the sanctuary was complete, lacking nothing. The reader is summoned not to a partially-provisioned access requiring personal supplement but to a finished work. In Christ, the antitype of everything in 2 Chronicles 4, the atonement is complete, the purification is complete, the light is given, the bread of presence is secured. The practical application is direct: stop approaching God as though something more were required of you before you could legitimately draw near. Stop living in the outer court when the veil has been torn. The provision is complete. Enter.</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4 teaches that God is the architect and provider of His own worship — that the means by which sinful human beings may approach a holy God are not discovered by human ingenuity but revealed and supplied by divine specification. The multiplicity and scale of the furnishings declare the sufficiency of God’s provision: He does not provide bare minimum access, but extravagant, complete, and adequate mediation. The priority of the altar (v. 1) establishes the foundational theological order: atonement precedes purification, which precedes illumination, which precedes sustained presence — this sequence is not arbitrary but reflects the actual order of redemption. The God who fills this Temple with every needed instrument is a God who takes both His own holiness and His people’s need with absolute seriousness, and who resolves the tension between them entirely by His own initiative and provision.</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Temple furnishings of 2 Chronicles 4 display the Reformed doctrine of grace at the level of worship itself: the worshiper brings nothing to the encounter that God has not first provided. Every vessel, every basin, every lamp is an emblem of prevenient divine provision — God supplying in advance what the sinner cannot supply for himself. The covenantal-typological framework that characterizes Reformed hermeneutics is indispensable here: these items are not mere historical artifacts but genuine types pointing forward to Christ, in whom the altar, the lavers, the lampstands, and the bread of presence all find their perfect and final fulfillment (Hebrews 9–10). The Chronicler’s theological purpose — to show Israel what true, God-designed worship looks like — runs directly parallel to the Reformed insistence that worship must be regulated by divine prescription, not human invention (the Regulative Principle of Worship). The completeness of the Temple’s furnishing is, ultimately, a gospel announcement: God has made every provision necessary; nothing is lacking; the worshiper need only enter the way He has opened.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has made complete provision for sinful people to draw near to Him — every altar, basin, and lampstand in Solomon’s Temple was His announcement that He, not the worshiper, supplies what holiness requires. In Christ, every one of those shadows has become substance: the sacrifice is final, the purification is permanent, the light is unfailing. Stop waiting until you feel more prepared, more worthy, or more religious enough to come — the provision is complete. Come.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the chapter as a skip or a summary passage.</w:t>
      </w:r>
      <w:r>
        <w:t xml:space="preserve"> </w:t>
      </w:r>
      <w:r>
        <w:t xml:space="preserve">The most common failure with 2 Chronicles 4 is simply not preaching it — treating it as background material between the Temple’s construction (ch. 3) and its dedication (ch. 5–7). This evacuates the chapter of its theological claim. The Chronicler included this inventory deliberately; its detail is its argument. A preacher who skips or abbreviates this chapter without accounting for its theological freight has treated the Spirit-breathed text as filler. Preach the inventory as a claim, not as a catalog.</w:t>
      </w:r>
    </w:p>
    <w:p>
      <w:pPr>
        <w:numPr>
          <w:ilvl w:val="0"/>
          <w:numId w:val="1002"/>
        </w:numPr>
      </w:pPr>
      <w:r>
        <w:rPr>
          <w:b/>
          <w:bCs/>
        </w:rPr>
        <w:t xml:space="preserve">Mining isolated details without reading the whole.</w:t>
      </w:r>
      <w:r>
        <w:t xml:space="preserve"> </w:t>
      </w:r>
      <w:r>
        <w:t xml:space="preserve">Related but distinct: the temptation to extract one or two vivid details (the size of the Sea, the twelve bulls) and build a sermon around them while leaving the chapter’s cumulative claim unpreached. Individual details gain their meaning from the whole — the Sea’s size matters because the whole inventory is making a claim about the extravagance of God’s provision. Extracting details without the whole inverts the chapter’s logic.</w:t>
      </w:r>
    </w:p>
    <w:p>
      <w:pPr>
        <w:numPr>
          <w:ilvl w:val="0"/>
          <w:numId w:val="1002"/>
        </w:numPr>
      </w:pPr>
      <w:r>
        <w:rPr>
          <w:b/>
          <w:bCs/>
        </w:rPr>
        <w:t xml:space="preserve">Reducing to moralizing about</w:t>
      </w:r>
      <w:r>
        <w:rPr>
          <w:b/>
          <w:bCs/>
        </w:rPr>
        <w:t xml:space="preserve"> </w:t>
      </w:r>
      <w:r>
        <w:rPr>
          <w:b/>
          <w:bCs/>
        </w:rPr>
        <w:t xml:space="preserve">“God deserves our best.”</w:t>
      </w:r>
      <w:r>
        <w:t xml:space="preserve"> </w:t>
      </w:r>
      <w:r>
        <w:t xml:space="preserve">Some expositors use the quality of the Temple furnishings — pure gold, skilled craftsmanship, large-scale construction — to derive a general principle that Christians should give God their best in time, talent, and treasure. This is not false, but it is a significant under-reading. The point is not what we bring to God but what God has provided for us. Reversing the direction of the text produces moralism; following the text’s actual direction produces gospel.</w:t>
      </w:r>
    </w:p>
    <w:p>
      <w:pPr>
        <w:numPr>
          <w:ilvl w:val="0"/>
          <w:numId w:val="1002"/>
        </w:numPr>
      </w:pPr>
      <w:r>
        <w:rPr>
          <w:b/>
          <w:bCs/>
        </w:rPr>
        <w:t xml:space="preserve">Missing the typological freight.</w:t>
      </w:r>
      <w:r>
        <w:t xml:space="preserve"> </w:t>
      </w:r>
      <w:r>
        <w:t xml:space="preserve">Preaching this chapter without following the types to their New Testament fulfillment leaves the congregation in the outer court, so to speak. The lavers, the altar, the lampstands, and the bread of presence all have explicit New Testament trajectories (Hebrews 9–10; John 1, 6, 8; Revelation 21–22). A congregation equipped to follow the types to their fulfillment in Christ has been given a hermeneutical tool that will serve them for life. A congregation that leaves knowing only that Solomon built a big Temple has been given a history lesson.</w:t>
      </w:r>
    </w:p>
    <w:p>
      <w:pPr>
        <w:numPr>
          <w:ilvl w:val="0"/>
          <w:numId w:val="1002"/>
        </w:numPr>
      </w:pPr>
      <w:r>
        <w:rPr>
          <w:b/>
          <w:bCs/>
        </w:rPr>
        <w:t xml:space="preserve">Failing to preach the altar first.</w:t>
      </w:r>
      <w:r>
        <w:t xml:space="preserve"> </w:t>
      </w:r>
      <w:r>
        <w:t xml:space="preserve">The altar (v. 1) stands first in the inventory. Preaching that begins with the beauty, scale, or completeness of the Temple without first establishing that no approach to God bypasses atonement has missed the passage’s structural argument. The altar’s priority is not incidental — it is the Chronicler’s theological point of entry. Every sermon from this passage should make clear that access to God begins with sacrifice, not with splendor.</w:t>
      </w:r>
    </w:p>
    <w:p>
      <w:pPr>
        <w:numPr>
          <w:ilvl w:val="0"/>
          <w:numId w:val="1002"/>
        </w:numPr>
      </w:pPr>
      <w:r>
        <w:rPr>
          <w:b/>
          <w:bCs/>
        </w:rPr>
        <w:t xml:space="preserve">Allowing the mathematical question about the Sea’s dimensions to dominate.</w:t>
      </w:r>
      <w:r>
        <w:t xml:space="preserve"> </w:t>
      </w:r>
      <w:r>
        <w:t xml:space="preserve">Commentators and congregants who have encountered the</w:t>
      </w:r>
      <w:r>
        <w:t xml:space="preserve"> </w:t>
      </w:r>
      <w:r>
        <w:t xml:space="preserve">“π problem”</w:t>
      </w:r>
      <w:r>
        <w:t xml:space="preserve"> </w:t>
      </w:r>
      <w:r>
        <w:t xml:space="preserve">in verse 2 (thirty-cubit circumference for a ten-cubit-diameter vessel) can derail exposition into a textual-apologetics debate that the passage is not raising. Acknowledge briefly if it surfaces, resolve it competently (ancient rounding conventions; possible inner/outer measurement distinction), and move on. The Chronicler’s point is theological magnitude, not engineering specification.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2026-07-14T21:03:24Z</dcterms:created>
  <dcterms:modified xsi:type="dcterms:W3CDTF">2026-07-14T21:03:24Z</dcterms:modified>
</cp:coreProperties>
</file>

<file path=docProps/custom.xml><?xml version="1.0" encoding="utf-8"?>
<Properties xmlns="http://schemas.openxmlformats.org/officeDocument/2006/custom-properties" xmlns:vt="http://schemas.openxmlformats.org/officeDocument/2006/docPropsVTypes"/>
</file>